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1F6" w:rsidRPr="000E2238" w:rsidRDefault="001A21F6" w:rsidP="00D76FA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E2238">
        <w:rPr>
          <w:sz w:val="26"/>
          <w:szCs w:val="26"/>
        </w:rPr>
        <w:t>Экспертное заключение № 41/Д</w:t>
      </w:r>
    </w:p>
    <w:p w:rsidR="001A21F6" w:rsidRPr="000E2238" w:rsidRDefault="001A21F6" w:rsidP="00D76FA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E2238">
        <w:rPr>
          <w:sz w:val="26"/>
          <w:szCs w:val="26"/>
        </w:rPr>
        <w:t>на проект решения Думы города Пыть-Яха</w:t>
      </w:r>
    </w:p>
    <w:p w:rsidR="001A21F6" w:rsidRPr="000E2238" w:rsidRDefault="001A21F6" w:rsidP="003D42AB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E2238">
        <w:rPr>
          <w:sz w:val="26"/>
          <w:szCs w:val="26"/>
        </w:rPr>
        <w:t xml:space="preserve">«О внесении изменений в решение Думы </w:t>
      </w:r>
      <w:r w:rsidRPr="003D42AB">
        <w:rPr>
          <w:sz w:val="26"/>
          <w:szCs w:val="26"/>
        </w:rPr>
        <w:t>города от 22.09.2008 № 330</w:t>
      </w:r>
      <w:r w:rsidRPr="003D42AB">
        <w:rPr>
          <w:b/>
          <w:sz w:val="26"/>
          <w:szCs w:val="26"/>
        </w:rPr>
        <w:t xml:space="preserve"> </w:t>
      </w:r>
      <w:r w:rsidRPr="000E2238">
        <w:rPr>
          <w:sz w:val="26"/>
          <w:szCs w:val="26"/>
        </w:rPr>
        <w:t>«Об установлении земельного налога на территории муниципального образования городской округ город Пыть-Ях</w:t>
      </w:r>
      <w:r>
        <w:rPr>
          <w:sz w:val="26"/>
          <w:szCs w:val="26"/>
        </w:rPr>
        <w:t xml:space="preserve">» </w:t>
      </w:r>
      <w:r w:rsidRPr="000E2238">
        <w:rPr>
          <w:sz w:val="26"/>
          <w:szCs w:val="26"/>
        </w:rPr>
        <w:t>(в ред. от 27.11.2008 № 356, от 20.10.2009 № 446, от 21.10.2010 № 577,</w:t>
      </w:r>
      <w:r>
        <w:rPr>
          <w:sz w:val="26"/>
          <w:szCs w:val="26"/>
        </w:rPr>
        <w:t xml:space="preserve"> </w:t>
      </w:r>
      <w:r w:rsidRPr="000E2238">
        <w:rPr>
          <w:sz w:val="26"/>
          <w:szCs w:val="26"/>
        </w:rPr>
        <w:t xml:space="preserve">от 30.03.2011 № 8, от 26.09.2012 № 167, от 24.12.2013 № 248, </w:t>
      </w:r>
    </w:p>
    <w:p w:rsidR="001A21F6" w:rsidRPr="000E2238" w:rsidRDefault="001A21F6" w:rsidP="00D76FA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E2238">
        <w:rPr>
          <w:sz w:val="26"/>
          <w:szCs w:val="26"/>
        </w:rPr>
        <w:t xml:space="preserve">от 30.09.2014 № 277, от 25.11.2014 № 300, от 18.02.2015 № 310, </w:t>
      </w:r>
    </w:p>
    <w:p w:rsidR="001A21F6" w:rsidRPr="000E2238" w:rsidRDefault="001A21F6" w:rsidP="00D76FA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E2238">
        <w:rPr>
          <w:sz w:val="26"/>
          <w:szCs w:val="26"/>
        </w:rPr>
        <w:t>от 15.12.2015 № 368, от 25</w:t>
      </w:r>
      <w:r>
        <w:rPr>
          <w:sz w:val="26"/>
          <w:szCs w:val="26"/>
        </w:rPr>
        <w:t>.05.2016 № 425)</w:t>
      </w:r>
    </w:p>
    <w:p w:rsidR="001A21F6" w:rsidRPr="000E2238" w:rsidRDefault="001A21F6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1A21F6" w:rsidRPr="000E2238" w:rsidRDefault="001A21F6" w:rsidP="00D76FA2">
      <w:pPr>
        <w:tabs>
          <w:tab w:val="left" w:pos="567"/>
        </w:tabs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г. Пыть-Ях                                                                                                   </w:t>
      </w:r>
      <w:r>
        <w:rPr>
          <w:sz w:val="26"/>
          <w:szCs w:val="26"/>
        </w:rPr>
        <w:t>24</w:t>
      </w:r>
      <w:r w:rsidRPr="000E2238">
        <w:rPr>
          <w:sz w:val="26"/>
          <w:szCs w:val="26"/>
        </w:rPr>
        <w:t xml:space="preserve"> октября </w:t>
      </w:r>
      <w:smartTag w:uri="urn:schemas-microsoft-com:office:smarttags" w:element="metricconverter">
        <w:smartTagPr>
          <w:attr w:name="ProductID" w:val="2017 г"/>
        </w:smartTagPr>
        <w:r w:rsidRPr="000E2238">
          <w:rPr>
            <w:sz w:val="26"/>
            <w:szCs w:val="26"/>
          </w:rPr>
          <w:t>2017 г</w:t>
        </w:r>
      </w:smartTag>
      <w:r w:rsidRPr="000E2238">
        <w:rPr>
          <w:sz w:val="26"/>
          <w:szCs w:val="26"/>
        </w:rPr>
        <w:t>.</w:t>
      </w:r>
    </w:p>
    <w:p w:rsidR="001A21F6" w:rsidRPr="000E2238" w:rsidRDefault="001A21F6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1A21F6" w:rsidRPr="000E2238" w:rsidRDefault="001A21F6" w:rsidP="003D42AB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 </w:t>
      </w:r>
      <w:r w:rsidRPr="003D42AB">
        <w:rPr>
          <w:sz w:val="26"/>
          <w:szCs w:val="26"/>
        </w:rPr>
        <w:t>«О внесении изменений в решение Думы города от 22.09.2008 № 330</w:t>
      </w:r>
      <w:r w:rsidRPr="003D42AB">
        <w:rPr>
          <w:b/>
          <w:sz w:val="26"/>
          <w:szCs w:val="26"/>
        </w:rPr>
        <w:t xml:space="preserve"> </w:t>
      </w:r>
      <w:r w:rsidRPr="003D42AB">
        <w:rPr>
          <w:sz w:val="26"/>
          <w:szCs w:val="26"/>
        </w:rPr>
        <w:t>«Об установлении земельного налога на территории муниципального образования городской округ город Пыть-Ях» (в ред. от 27.11.2008 № 356, от 20.10.2009 № 446, от 21.10.2010 № 577, от 30.03.2011 № 8, от 26.09.2012 № 167, от 24.12.2013 № 248, от 30.09.2014 № 277, от 25.11.2014 № 300, от 18.02.2015 № 310, от 15.12.2015 № 368, от 25.05.2016 № 425)</w:t>
      </w:r>
      <w:r>
        <w:rPr>
          <w:sz w:val="26"/>
          <w:szCs w:val="26"/>
        </w:rPr>
        <w:t xml:space="preserve"> </w:t>
      </w:r>
      <w:r w:rsidRPr="000E2238">
        <w:rPr>
          <w:sz w:val="26"/>
          <w:szCs w:val="26"/>
        </w:rPr>
        <w:t>(далее – проект решения) на соответствие  действующему законодательству.</w:t>
      </w:r>
    </w:p>
    <w:p w:rsidR="001A21F6" w:rsidRPr="000E2238" w:rsidRDefault="001A21F6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1A21F6" w:rsidRPr="000E2238" w:rsidRDefault="001A21F6" w:rsidP="00D76FA2">
      <w:pPr>
        <w:pStyle w:val="ConsPlusTitle"/>
        <w:widowControl/>
        <w:numPr>
          <w:ilvl w:val="0"/>
          <w:numId w:val="1"/>
        </w:numPr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>Налоговый кодекс Российской Федерации (далее - НК РФ);</w:t>
      </w:r>
    </w:p>
    <w:p w:rsidR="001A21F6" w:rsidRPr="000E2238" w:rsidRDefault="001A21F6" w:rsidP="00D76FA2">
      <w:pPr>
        <w:pStyle w:val="ConsPlusTitle"/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>Федеральный закон от 06.10.2006 № 131-ФЗ «Об общих принципах организации местного самоуправления в РФ» (далее - Федеральный закон от 06.10.2006 № 131-ФЗ)</w:t>
      </w:r>
    </w:p>
    <w:p w:rsidR="001A21F6" w:rsidRPr="000E2238" w:rsidRDefault="001A21F6" w:rsidP="00D76FA2">
      <w:pPr>
        <w:pStyle w:val="ConsPlusTitle"/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>Земельный кодекс РФ (далее – ЗК РФ);</w:t>
      </w:r>
    </w:p>
    <w:p w:rsidR="001A21F6" w:rsidRPr="000E2238" w:rsidRDefault="001A21F6" w:rsidP="00D76FA2">
      <w:pPr>
        <w:pStyle w:val="ConsPlusTitle"/>
        <w:widowControl/>
        <w:ind w:firstLine="567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>4.</w:t>
      </w:r>
      <w:r w:rsidRPr="000E2238">
        <w:rPr>
          <w:sz w:val="26"/>
          <w:szCs w:val="26"/>
        </w:rPr>
        <w:t xml:space="preserve"> </w:t>
      </w:r>
      <w:r w:rsidRPr="000E2238">
        <w:rPr>
          <w:b w:val="0"/>
          <w:sz w:val="26"/>
          <w:szCs w:val="26"/>
        </w:rPr>
        <w:t>Приказ Минэкономразвития РФ от 15.02.2007 № 39 «Об утверждении Методических указаний по государственной кадастровой оценке земель населенных пунктов» (далее - приказ Минэкономразвития РФ от 15.02.2007 № 39);</w:t>
      </w:r>
    </w:p>
    <w:p w:rsidR="001A21F6" w:rsidRPr="000E2238" w:rsidRDefault="001A21F6" w:rsidP="00D76FA2">
      <w:pPr>
        <w:pStyle w:val="ConsPlusTitle"/>
        <w:widowControl/>
        <w:ind w:firstLine="567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>5. Постановление Правительства Ханты-Мансийского автономного округа - Югры от 07.08.2015 № 249-п «Об утверждении результатов определения кадастровой стоимости земельных участков в составе земель населенных пунктов на территории ХМАО-Югры и признании утратившими силу некоторых постановления Правительства ХМАО-Югры» (далее - постановление Правительства Ханты-Мансийского автономного округа - Югры от 07.08.2015 № 249-п);</w:t>
      </w:r>
    </w:p>
    <w:p w:rsidR="001A21F6" w:rsidRPr="000E2238" w:rsidRDefault="001A21F6" w:rsidP="00D76FA2">
      <w:pPr>
        <w:pStyle w:val="ConsPlusTitle"/>
        <w:widowControl/>
        <w:ind w:firstLine="567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>6. Распоряжение Правительства ХМАО-Югры от 10.10.2014 № 562-рп «О проведении кадастровой оценки объектов недвижимости» (далее - распоряжение Правительства ХМАО-Югры от 10.10.2014 № 562-рп).</w:t>
      </w:r>
    </w:p>
    <w:p w:rsidR="001A21F6" w:rsidRPr="000E2238" w:rsidRDefault="001A21F6" w:rsidP="00D76FA2">
      <w:pPr>
        <w:tabs>
          <w:tab w:val="left" w:pos="567"/>
        </w:tabs>
        <w:ind w:firstLine="567"/>
        <w:jc w:val="both"/>
        <w:rPr>
          <w:bCs/>
          <w:sz w:val="26"/>
          <w:szCs w:val="26"/>
        </w:rPr>
      </w:pPr>
      <w:r w:rsidRPr="000E2238">
        <w:rPr>
          <w:sz w:val="26"/>
          <w:szCs w:val="26"/>
        </w:rPr>
        <w:t xml:space="preserve">В соответствии с п. 2.2. Положения </w:t>
      </w:r>
      <w:r w:rsidRPr="000E2238">
        <w:rPr>
          <w:bCs/>
          <w:sz w:val="26"/>
          <w:szCs w:val="26"/>
        </w:rPr>
        <w:t>о порядке внесения проектов муниципальных</w:t>
      </w:r>
    </w:p>
    <w:p w:rsidR="001A21F6" w:rsidRPr="000E2238" w:rsidRDefault="001A21F6" w:rsidP="00D76FA2">
      <w:pPr>
        <w:tabs>
          <w:tab w:val="left" w:pos="567"/>
        </w:tabs>
        <w:jc w:val="both"/>
        <w:rPr>
          <w:bCs/>
          <w:sz w:val="26"/>
          <w:szCs w:val="26"/>
        </w:rPr>
      </w:pPr>
      <w:r w:rsidRPr="000E2238">
        <w:rPr>
          <w:bCs/>
          <w:sz w:val="26"/>
          <w:szCs w:val="26"/>
        </w:rPr>
        <w:t xml:space="preserve">правовых актов в Думу города Пыть-Яха, утвержденного </w:t>
      </w:r>
      <w:r w:rsidRPr="000E2238">
        <w:rPr>
          <w:sz w:val="26"/>
          <w:szCs w:val="26"/>
        </w:rPr>
        <w:t xml:space="preserve">решением Думы города Пыть-Яха от 26.04.2012 № 139, данный проект направлен в Думу города Пыть-Яха Главой города. В Счетно-контрольную палату проект решения поступил 13.10.2017 г. </w:t>
      </w:r>
    </w:p>
    <w:p w:rsidR="001A21F6" w:rsidRPr="000E2238" w:rsidRDefault="001A21F6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С проектом решения представлены пояснительная записка заместителя главы города – председателя комитета по финансам</w:t>
      </w:r>
      <w:r w:rsidRPr="000E2238">
        <w:rPr>
          <w:bCs/>
          <w:sz w:val="26"/>
          <w:szCs w:val="26"/>
        </w:rPr>
        <w:t xml:space="preserve">, финансово-экономическое обоснование проекта решения Думы, письмо Межрайонной ИФНС России № 7 по Ханты-Мансийскому автономному округу – Югра от 06.10.2017 № 04-36/11645 «О согласовании проекта решения». </w:t>
      </w:r>
      <w:r w:rsidRPr="000E2238">
        <w:rPr>
          <w:sz w:val="26"/>
          <w:szCs w:val="26"/>
        </w:rPr>
        <w:t xml:space="preserve">Разработчиком дополнительно были предоставлены следующие документы: протокол заседания Совета при Правительстве Ханты-Мансийского автономного округа – Югры по вопросам развития инвестиционной деятельности в Ханты-Мансийском автономном округе – Югре от 16.12.2016 № 28, соглашение о сотрудничестве по вопросам внедрения успешных практик от 13.02.2017 № б/н. </w:t>
      </w:r>
    </w:p>
    <w:p w:rsidR="001A21F6" w:rsidRPr="000E2238" w:rsidRDefault="001A21F6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В ходе подготовки заключения эксперты к проведению экспертизы не привлекались, документы не запрашивались. </w:t>
      </w:r>
    </w:p>
    <w:p w:rsidR="001A21F6" w:rsidRPr="000E2238" w:rsidRDefault="001A21F6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Представленным проектом предлагается внести следующие изменения:</w:t>
      </w:r>
    </w:p>
    <w:p w:rsidR="001A21F6" w:rsidRPr="000E2238" w:rsidRDefault="001A21F6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В таблице пункта 2 строку: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09"/>
        <w:gridCol w:w="5150"/>
        <w:gridCol w:w="1275"/>
      </w:tblGrid>
      <w:tr w:rsidR="001A21F6" w:rsidRPr="000E2238" w:rsidTr="00771DBE">
        <w:tc>
          <w:tcPr>
            <w:tcW w:w="3209" w:type="dxa"/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771DBE">
              <w:rPr>
                <w:b/>
                <w:sz w:val="26"/>
                <w:szCs w:val="26"/>
              </w:rPr>
              <w:t>Номер вида разрешенного использования</w:t>
            </w:r>
          </w:p>
        </w:tc>
        <w:tc>
          <w:tcPr>
            <w:tcW w:w="5150" w:type="dxa"/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771DBE">
              <w:rPr>
                <w:b/>
                <w:sz w:val="26"/>
                <w:szCs w:val="26"/>
              </w:rPr>
              <w:t>Вид разрешенного использования</w:t>
            </w:r>
          </w:p>
        </w:tc>
        <w:tc>
          <w:tcPr>
            <w:tcW w:w="1275" w:type="dxa"/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771DBE">
              <w:rPr>
                <w:b/>
                <w:sz w:val="26"/>
                <w:szCs w:val="26"/>
              </w:rPr>
              <w:t>Ставка налога</w:t>
            </w:r>
          </w:p>
        </w:tc>
      </w:tr>
      <w:tr w:rsidR="001A21F6" w:rsidRPr="000E2238" w:rsidTr="00771DBE">
        <w:tc>
          <w:tcPr>
            <w:tcW w:w="3209" w:type="dxa"/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771DBE">
              <w:rPr>
                <w:sz w:val="26"/>
                <w:szCs w:val="26"/>
              </w:rPr>
              <w:t>17</w:t>
            </w:r>
          </w:p>
        </w:tc>
        <w:tc>
          <w:tcPr>
            <w:tcW w:w="5150" w:type="dxa"/>
            <w:vAlign w:val="center"/>
          </w:tcPr>
          <w:p w:rsidR="001A21F6" w:rsidRPr="00771DBE" w:rsidRDefault="001A21F6" w:rsidP="00771DBE">
            <w:pPr>
              <w:ind w:left="23" w:right="81" w:hanging="23"/>
              <w:jc w:val="both"/>
              <w:rPr>
                <w:sz w:val="26"/>
                <w:szCs w:val="26"/>
              </w:rPr>
            </w:pPr>
            <w:r w:rsidRPr="00771DBE">
              <w:rPr>
                <w:sz w:val="26"/>
                <w:szCs w:val="26"/>
              </w:rPr>
              <w:t>Земельные участки, предназначенные для размещения административных зданий объектов образования,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1275" w:type="dxa"/>
            <w:vAlign w:val="center"/>
          </w:tcPr>
          <w:p w:rsidR="001A21F6" w:rsidRPr="00771DBE" w:rsidRDefault="001A21F6" w:rsidP="00771DBE">
            <w:pPr>
              <w:jc w:val="center"/>
              <w:rPr>
                <w:sz w:val="26"/>
                <w:szCs w:val="26"/>
              </w:rPr>
            </w:pPr>
            <w:r w:rsidRPr="00771DBE">
              <w:rPr>
                <w:sz w:val="26"/>
                <w:szCs w:val="26"/>
              </w:rPr>
              <w:t>1,5 %</w:t>
            </w:r>
          </w:p>
        </w:tc>
      </w:tr>
    </w:tbl>
    <w:p w:rsidR="001A21F6" w:rsidRPr="000E2238" w:rsidRDefault="001A21F6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1A21F6" w:rsidRPr="000E2238" w:rsidRDefault="001A21F6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 Изложить в новой редакции:</w:t>
      </w:r>
    </w:p>
    <w:p w:rsidR="001A21F6" w:rsidRPr="000E2238" w:rsidRDefault="001A21F6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09"/>
        <w:gridCol w:w="5150"/>
        <w:gridCol w:w="1275"/>
      </w:tblGrid>
      <w:tr w:rsidR="001A21F6" w:rsidRPr="000E2238" w:rsidTr="00771DBE">
        <w:tc>
          <w:tcPr>
            <w:tcW w:w="3209" w:type="dxa"/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771DBE">
              <w:rPr>
                <w:b/>
                <w:sz w:val="26"/>
                <w:szCs w:val="26"/>
              </w:rPr>
              <w:t>Номер вида разрешенного использования</w:t>
            </w:r>
          </w:p>
        </w:tc>
        <w:tc>
          <w:tcPr>
            <w:tcW w:w="5150" w:type="dxa"/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771DBE">
              <w:rPr>
                <w:b/>
                <w:sz w:val="26"/>
                <w:szCs w:val="26"/>
              </w:rPr>
              <w:t>Вид разрешенного использования</w:t>
            </w:r>
          </w:p>
        </w:tc>
        <w:tc>
          <w:tcPr>
            <w:tcW w:w="1275" w:type="dxa"/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771DBE">
              <w:rPr>
                <w:b/>
                <w:sz w:val="26"/>
                <w:szCs w:val="26"/>
              </w:rPr>
              <w:t>Ставка налога</w:t>
            </w:r>
          </w:p>
        </w:tc>
      </w:tr>
      <w:tr w:rsidR="001A21F6" w:rsidRPr="000E2238" w:rsidTr="00771DBE">
        <w:tc>
          <w:tcPr>
            <w:tcW w:w="3209" w:type="dxa"/>
            <w:vMerge w:val="restart"/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771DBE">
              <w:rPr>
                <w:sz w:val="26"/>
                <w:szCs w:val="26"/>
              </w:rPr>
              <w:t>17</w:t>
            </w:r>
          </w:p>
        </w:tc>
        <w:tc>
          <w:tcPr>
            <w:tcW w:w="5150" w:type="dxa"/>
            <w:vAlign w:val="center"/>
          </w:tcPr>
          <w:p w:rsidR="001A21F6" w:rsidRPr="00771DBE" w:rsidRDefault="001A21F6" w:rsidP="00771DBE">
            <w:pPr>
              <w:ind w:left="23" w:right="81" w:hanging="23"/>
              <w:jc w:val="both"/>
              <w:rPr>
                <w:sz w:val="26"/>
                <w:szCs w:val="26"/>
              </w:rPr>
            </w:pPr>
            <w:r w:rsidRPr="00771DBE">
              <w:rPr>
                <w:sz w:val="26"/>
                <w:szCs w:val="26"/>
              </w:rPr>
              <w:t>Земельные участки, предназначенные для размещения административных зданий объектов образования</w:t>
            </w:r>
          </w:p>
        </w:tc>
        <w:tc>
          <w:tcPr>
            <w:tcW w:w="1275" w:type="dxa"/>
            <w:vAlign w:val="center"/>
          </w:tcPr>
          <w:p w:rsidR="001A21F6" w:rsidRPr="00771DBE" w:rsidRDefault="001A21F6" w:rsidP="00771DBE">
            <w:pPr>
              <w:jc w:val="center"/>
              <w:rPr>
                <w:sz w:val="26"/>
                <w:szCs w:val="26"/>
              </w:rPr>
            </w:pPr>
            <w:r w:rsidRPr="00771DBE">
              <w:rPr>
                <w:sz w:val="26"/>
                <w:szCs w:val="26"/>
              </w:rPr>
              <w:t>1 %</w:t>
            </w:r>
          </w:p>
        </w:tc>
      </w:tr>
      <w:tr w:rsidR="001A21F6" w:rsidRPr="000E2238" w:rsidTr="00771DBE">
        <w:tc>
          <w:tcPr>
            <w:tcW w:w="3209" w:type="dxa"/>
            <w:vMerge/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150" w:type="dxa"/>
            <w:vAlign w:val="center"/>
          </w:tcPr>
          <w:p w:rsidR="001A21F6" w:rsidRPr="00771DBE" w:rsidRDefault="001A21F6" w:rsidP="00771DBE">
            <w:pPr>
              <w:ind w:left="23" w:right="81" w:hanging="23"/>
              <w:jc w:val="both"/>
              <w:rPr>
                <w:sz w:val="26"/>
                <w:szCs w:val="26"/>
              </w:rPr>
            </w:pPr>
            <w:r w:rsidRPr="00771DBE">
              <w:rPr>
                <w:sz w:val="26"/>
                <w:szCs w:val="26"/>
              </w:rPr>
              <w:t>Земельные участки, предназначенные для размещения административных зданий объектов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1275" w:type="dxa"/>
            <w:vAlign w:val="center"/>
          </w:tcPr>
          <w:p w:rsidR="001A21F6" w:rsidRPr="00771DBE" w:rsidRDefault="001A21F6" w:rsidP="00771DBE">
            <w:pPr>
              <w:jc w:val="center"/>
              <w:rPr>
                <w:sz w:val="26"/>
                <w:szCs w:val="26"/>
              </w:rPr>
            </w:pPr>
            <w:r w:rsidRPr="00771DBE">
              <w:rPr>
                <w:sz w:val="26"/>
                <w:szCs w:val="26"/>
              </w:rPr>
              <w:t>1,5</w:t>
            </w:r>
          </w:p>
        </w:tc>
      </w:tr>
    </w:tbl>
    <w:p w:rsidR="001A21F6" w:rsidRPr="000E2238" w:rsidRDefault="001A21F6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В пояснительной записке заместителя главы города – председателя комитета по финансам указано, что проектом решения вносится предложение о снижении ставки земельного налога для «земельных участков, предназначенных для размещения административных зданий, объектов образования» с 1,5% до 1,0 %, для привлечения инвесторов в сферу «Строительство новых образовательных объектов), путем предоставления комфортных условий для них. </w:t>
      </w:r>
    </w:p>
    <w:p w:rsidR="001A21F6" w:rsidRPr="000E2238" w:rsidRDefault="001A21F6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В ходе экспертизы проекта решения установлено следующее:</w:t>
      </w:r>
    </w:p>
    <w:p w:rsidR="001A21F6" w:rsidRPr="000E2238" w:rsidRDefault="001A21F6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 xml:space="preserve">Во исполнение протокола заседания Совета при Правительстве Ханты-Мансийского автономного округа – Югры по вопросам развития инвестиционной деятельности в Ханты-Мансийском округе –Югре от 16.12.2016 № 28, было заключено Соглашение от 13.02.2017 г. </w:t>
      </w:r>
      <w:r>
        <w:rPr>
          <w:b w:val="0"/>
          <w:sz w:val="26"/>
          <w:szCs w:val="26"/>
        </w:rPr>
        <w:t xml:space="preserve">№ б/н </w:t>
      </w:r>
      <w:r w:rsidRPr="000E2238">
        <w:rPr>
          <w:b w:val="0"/>
          <w:sz w:val="26"/>
          <w:szCs w:val="26"/>
        </w:rPr>
        <w:t xml:space="preserve">«О сотрудничестве по вопросам внедрения успешных практик» (далее – Соглашение) заключенного между Департаментом экономического развития Ханты-Мансийского автономного округа – Югры и Администрацией города Пыть-Яха. Согласно вышеупомянутому Соглашению, процесс внедрения практики «Формирование обоснованных эффективных ставок земельного налога и арендной платы за земельные участки для приоритетных категорий плательщиков» реализуется в указанном проекте решения, с целью улучшения инвестиционного климата. </w:t>
      </w:r>
    </w:p>
    <w:p w:rsidR="001A21F6" w:rsidRPr="000E2238" w:rsidRDefault="001A21F6" w:rsidP="00D76FA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В соответствии со ст. 387 НК РФ, земельный налог устанавливается Налоговым кодексом и нормативными правовыми актами представительных органов муниципальных образований, вводится в действие и прекращает действовать в соответствии с Налоговым кодексом и нормативными правовыми актами представительного органа муниципального образования и обязателен к уплате на территории этого муниципального образования. Статьей 16 Федерального закона от 06.10.2003 № 131-ФЗ определено, что к вопросам местного значения городского округа относятся, в том числе вопросы по установлению, изменению и отмене местных налогов и сборов городского округа. </w:t>
      </w:r>
    </w:p>
    <w:p w:rsidR="001A21F6" w:rsidRPr="000E2238" w:rsidRDefault="001A21F6" w:rsidP="00D76FA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В соответствии со ст. 19 Устава города Пыть-Яха к исключительной компетенции Думы города Пыть-Яха находится установление, изменение и отмена местных налогов и сборов в соответствии с законодательством Российской Федерации о налогах и сборах.</w:t>
      </w:r>
    </w:p>
    <w:p w:rsidR="001A21F6" w:rsidRPr="000E2238" w:rsidRDefault="001A21F6" w:rsidP="00D76FA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Согласно ст. 15 НК РФ к местным налогам относят в том числе земельный налог. </w:t>
      </w:r>
    </w:p>
    <w:p w:rsidR="001A21F6" w:rsidRPr="000E2238" w:rsidRDefault="001A21F6" w:rsidP="00D76FA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E2238">
        <w:rPr>
          <w:sz w:val="26"/>
          <w:szCs w:val="26"/>
          <w:shd w:val="clear" w:color="auto" w:fill="FFFFFF"/>
        </w:rPr>
        <w:t xml:space="preserve">Согласно п. 2 ст. 387 НК РФ, устанавливая земельный налог, представительные органы муниципальных образований определяют налоговые ставки в пределах, установленных статьей 394 НК РФ. </w:t>
      </w:r>
    </w:p>
    <w:p w:rsidR="001A21F6" w:rsidRPr="000E2238" w:rsidRDefault="001A21F6" w:rsidP="00D76FA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В соответствии с п. 1 ст. 394 НК РФ определено, что налоговые ставки для исчисления земельного налога 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 занятых </w:t>
      </w:r>
      <w:hyperlink r:id="rId7" w:anchor="dst100149" w:history="1">
        <w:r w:rsidRPr="000E2238">
          <w:rPr>
            <w:rStyle w:val="Hyperlink"/>
            <w:color w:val="auto"/>
            <w:sz w:val="26"/>
            <w:szCs w:val="26"/>
            <w:u w:val="none"/>
          </w:rPr>
          <w:t>жилищным фондом</w:t>
        </w:r>
      </w:hyperlink>
      <w:r w:rsidRPr="000E2238">
        <w:rPr>
          <w:sz w:val="26"/>
          <w:szCs w:val="26"/>
        </w:rPr>
        <w:t> 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  <w:r w:rsidRPr="000E2238">
        <w:rPr>
          <w:sz w:val="26"/>
          <w:szCs w:val="26"/>
          <w:shd w:val="clear" w:color="auto" w:fill="FFFFFF"/>
        </w:rPr>
        <w:t xml:space="preserve"> </w:t>
      </w:r>
      <w:r w:rsidRPr="000E2238">
        <w:rPr>
          <w:sz w:val="26"/>
          <w:szCs w:val="26"/>
        </w:rPr>
        <w:t>приобретенных (предоставленных) для </w:t>
      </w:r>
      <w:hyperlink r:id="rId8" w:anchor="dst100022" w:history="1">
        <w:r w:rsidRPr="000E2238">
          <w:rPr>
            <w:rStyle w:val="Hyperlink"/>
            <w:color w:val="auto"/>
            <w:sz w:val="26"/>
            <w:szCs w:val="26"/>
            <w:u w:val="none"/>
          </w:rPr>
          <w:t>личного подсобного хозяйства</w:t>
        </w:r>
      </w:hyperlink>
      <w:r w:rsidRPr="000E2238">
        <w:rPr>
          <w:sz w:val="26"/>
          <w:szCs w:val="26"/>
        </w:rPr>
        <w:t>, садоводства, огородничества или животноводства, а также дачного хозяйства; ограниченных в обороте в соответствии с </w:t>
      </w:r>
      <w:hyperlink r:id="rId9" w:anchor="dst100225" w:history="1">
        <w:r w:rsidRPr="000E2238">
          <w:rPr>
            <w:rStyle w:val="Hyperlink"/>
            <w:color w:val="auto"/>
            <w:sz w:val="26"/>
            <w:szCs w:val="26"/>
            <w:u w:val="none"/>
          </w:rPr>
          <w:t>законодательством</w:t>
        </w:r>
      </w:hyperlink>
      <w:r w:rsidRPr="000E2238">
        <w:rPr>
          <w:sz w:val="26"/>
          <w:szCs w:val="26"/>
        </w:rPr>
        <w:t> Российской Федерации, предоставленных для обеспечения обороны, безопасности и таможенных нужд, ставки не могут превышать 0,3 % и 1,5 % в отношении прочих земельных участков.</w:t>
      </w:r>
    </w:p>
    <w:p w:rsidR="001A21F6" w:rsidRPr="000E2238" w:rsidRDefault="001A21F6" w:rsidP="00D76FA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В соответствии с п. 2 ст. 394 НК РФ представительным органам муниципальных образований дано право дифференцировать налоговые ставки в зависимости от категорий земель и разрешенного использования земельного участка. Таким образом предлагаемые изменения соответствуют требованиям действующего законодательства, в т.ч. установленные в проекте решения налоговые ставки в отношении прочих земельных участков не превышают предельные ставки, установленные НК РФ.</w:t>
      </w:r>
    </w:p>
    <w:p w:rsidR="001A21F6" w:rsidRPr="000E2238" w:rsidRDefault="001A21F6" w:rsidP="00D76FA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Проектом предусмотрено вступление в силу решения с 1 января 2018 года, что соответствует требованиям ст.5 НК РФ.</w:t>
      </w:r>
    </w:p>
    <w:p w:rsidR="001A21F6" w:rsidRPr="000E2238" w:rsidRDefault="001A21F6" w:rsidP="00D76FA2">
      <w:pPr>
        <w:ind w:firstLine="540"/>
        <w:jc w:val="both"/>
        <w:rPr>
          <w:bCs/>
          <w:sz w:val="26"/>
          <w:szCs w:val="26"/>
        </w:rPr>
      </w:pPr>
      <w:r w:rsidRPr="000E2238">
        <w:rPr>
          <w:bCs/>
          <w:sz w:val="26"/>
          <w:szCs w:val="26"/>
        </w:rPr>
        <w:t xml:space="preserve">В соответствии с п. 2 ст. 64 БК РФ, в Положении о бюджетном процессе в муниципальном образовании городской округ город Пыть-Ях, утвержденного решением Думы города Пыть-Яха от 21.03.2014 № 258, было установлено п. 2  ст. 18, что Решения Думы города Пыть-Яха о налогах и сборах, внесении изменений и дополнений в указанные решения, приводящие к изменению доходов (расходов) бюджета муниципального образования и вступающие в силу в очередном финансовом году, должны быть приняты до 1 октября текущего года. Учитывая ст. 2 Федерального закона от 30.09.2017 № 285-ФЗ «О внесении изменений в Бюджетный кодекс Российской Федерации», который приостанавливает </w:t>
      </w:r>
      <w:r w:rsidRPr="000E2238">
        <w:rPr>
          <w:sz w:val="26"/>
          <w:szCs w:val="26"/>
        </w:rPr>
        <w:t xml:space="preserve">до 1 января 2018 года действие    </w:t>
      </w:r>
      <w:hyperlink r:id="rId10" w:history="1">
        <w:r w:rsidRPr="000E2238">
          <w:rPr>
            <w:sz w:val="26"/>
            <w:szCs w:val="26"/>
          </w:rPr>
          <w:t>п. 2 ст. 64</w:t>
        </w:r>
      </w:hyperlink>
      <w:r w:rsidRPr="000E2238">
        <w:rPr>
          <w:sz w:val="26"/>
          <w:szCs w:val="26"/>
        </w:rPr>
        <w:t xml:space="preserve"> БК РФ, представленный проект решения соответствует требованиям Бюджетного законодательства.</w:t>
      </w:r>
    </w:p>
    <w:p w:rsidR="001A21F6" w:rsidRPr="000E2238" w:rsidRDefault="001A21F6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>Данный проект решения прошел правовой анализ в Межрайонной инспекции федеральной налоговой службы России № 7 по ХМАО-Югре, в результате которого установлено, что проект решения не противоречит нормам действующего налогового законодательства.</w:t>
      </w:r>
    </w:p>
    <w:p w:rsidR="001A21F6" w:rsidRDefault="001A21F6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>Предлагаем строк</w:t>
      </w:r>
      <w:r>
        <w:rPr>
          <w:b w:val="0"/>
          <w:sz w:val="26"/>
          <w:szCs w:val="26"/>
        </w:rPr>
        <w:t>у</w:t>
      </w:r>
      <w:r w:rsidRPr="000E2238">
        <w:rPr>
          <w:b w:val="0"/>
          <w:sz w:val="26"/>
          <w:szCs w:val="26"/>
        </w:rPr>
        <w:t xml:space="preserve"> 17, которая предложена к изложению в новой редакции</w:t>
      </w:r>
      <w:r>
        <w:rPr>
          <w:b w:val="0"/>
          <w:sz w:val="26"/>
          <w:szCs w:val="26"/>
        </w:rPr>
        <w:t xml:space="preserve"> проектом решения</w:t>
      </w:r>
      <w:r w:rsidRPr="000E2238">
        <w:rPr>
          <w:b w:val="0"/>
          <w:sz w:val="26"/>
          <w:szCs w:val="26"/>
        </w:rPr>
        <w:t xml:space="preserve">, изложить с учетом утвержденных видов разрешенного использования, утвержденных Приказом </w:t>
      </w:r>
      <w:r>
        <w:rPr>
          <w:b w:val="0"/>
          <w:sz w:val="26"/>
          <w:szCs w:val="26"/>
        </w:rPr>
        <w:t xml:space="preserve">Минэкономразвития РФ </w:t>
      </w:r>
      <w:r w:rsidRPr="000E2238">
        <w:rPr>
          <w:b w:val="0"/>
          <w:sz w:val="26"/>
          <w:szCs w:val="26"/>
        </w:rPr>
        <w:t>от 15.02.2007 № 39</w:t>
      </w:r>
      <w:r>
        <w:rPr>
          <w:b w:val="0"/>
          <w:sz w:val="26"/>
          <w:szCs w:val="26"/>
        </w:rPr>
        <w:t>, а именно:</w:t>
      </w:r>
    </w:p>
    <w:p w:rsidR="001A21F6" w:rsidRDefault="001A21F6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"/>
        <w:gridCol w:w="1990"/>
        <w:gridCol w:w="5560"/>
        <w:gridCol w:w="1246"/>
        <w:gridCol w:w="420"/>
      </w:tblGrid>
      <w:tr w:rsidR="001A21F6" w:rsidRPr="000E2238" w:rsidTr="00771DBE">
        <w:tc>
          <w:tcPr>
            <w:tcW w:w="530" w:type="dxa"/>
            <w:vMerge w:val="restart"/>
            <w:tcBorders>
              <w:top w:val="nil"/>
              <w:left w:val="nil"/>
              <w:bottom w:val="nil"/>
            </w:tcBorders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771DBE"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1990" w:type="dxa"/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771DBE">
              <w:rPr>
                <w:b/>
                <w:sz w:val="26"/>
                <w:szCs w:val="26"/>
              </w:rPr>
              <w:t>Номер вида разрешенного использования</w:t>
            </w:r>
          </w:p>
        </w:tc>
        <w:tc>
          <w:tcPr>
            <w:tcW w:w="5560" w:type="dxa"/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771DBE">
              <w:rPr>
                <w:b/>
                <w:sz w:val="26"/>
                <w:szCs w:val="26"/>
              </w:rPr>
              <w:t>Вид разрешенного использования</w:t>
            </w:r>
          </w:p>
        </w:tc>
        <w:tc>
          <w:tcPr>
            <w:tcW w:w="1246" w:type="dxa"/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771DBE">
              <w:rPr>
                <w:b/>
                <w:sz w:val="26"/>
                <w:szCs w:val="26"/>
              </w:rPr>
              <w:t>Ставка налога</w:t>
            </w:r>
          </w:p>
        </w:tc>
        <w:tc>
          <w:tcPr>
            <w:tcW w:w="420" w:type="dxa"/>
            <w:vMerge w:val="restart"/>
            <w:tcBorders>
              <w:top w:val="nil"/>
              <w:bottom w:val="nil"/>
              <w:right w:val="nil"/>
            </w:tcBorders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rPr>
                <w:b/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rPr>
                <w:b/>
                <w:sz w:val="26"/>
                <w:szCs w:val="26"/>
              </w:rPr>
            </w:pPr>
            <w:r w:rsidRPr="00771DBE">
              <w:rPr>
                <w:b/>
                <w:sz w:val="26"/>
                <w:szCs w:val="26"/>
              </w:rPr>
              <w:t xml:space="preserve"> ».</w:t>
            </w:r>
          </w:p>
        </w:tc>
      </w:tr>
      <w:tr w:rsidR="001A21F6" w:rsidRPr="000E2238" w:rsidTr="00771DBE">
        <w:tc>
          <w:tcPr>
            <w:tcW w:w="530" w:type="dxa"/>
            <w:vMerge/>
            <w:tcBorders>
              <w:top w:val="nil"/>
              <w:left w:val="nil"/>
              <w:bottom w:val="nil"/>
            </w:tcBorders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990" w:type="dxa"/>
            <w:vMerge w:val="restart"/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771DBE">
              <w:rPr>
                <w:sz w:val="26"/>
                <w:szCs w:val="26"/>
              </w:rPr>
              <w:t>17</w:t>
            </w:r>
          </w:p>
        </w:tc>
        <w:tc>
          <w:tcPr>
            <w:tcW w:w="5560" w:type="dxa"/>
            <w:vAlign w:val="center"/>
          </w:tcPr>
          <w:p w:rsidR="001A21F6" w:rsidRPr="00771DBE" w:rsidRDefault="001A21F6" w:rsidP="00771DBE">
            <w:pPr>
              <w:ind w:left="23" w:right="81" w:hanging="23"/>
              <w:jc w:val="both"/>
              <w:rPr>
                <w:sz w:val="26"/>
                <w:szCs w:val="26"/>
              </w:rPr>
            </w:pPr>
            <w:r w:rsidRPr="00771DBE">
              <w:rPr>
                <w:sz w:val="26"/>
                <w:szCs w:val="26"/>
              </w:rPr>
              <w:t>Земельные участки, предназначенные для размещения административных зданий, объектов образования</w:t>
            </w:r>
          </w:p>
        </w:tc>
        <w:tc>
          <w:tcPr>
            <w:tcW w:w="1246" w:type="dxa"/>
            <w:vAlign w:val="center"/>
          </w:tcPr>
          <w:p w:rsidR="001A21F6" w:rsidRPr="00771DBE" w:rsidRDefault="001A21F6" w:rsidP="00771DBE">
            <w:pPr>
              <w:jc w:val="center"/>
              <w:rPr>
                <w:sz w:val="26"/>
                <w:szCs w:val="26"/>
              </w:rPr>
            </w:pPr>
            <w:r w:rsidRPr="00771DBE">
              <w:rPr>
                <w:sz w:val="26"/>
                <w:szCs w:val="26"/>
              </w:rPr>
              <w:t>1 %</w:t>
            </w:r>
          </w:p>
        </w:tc>
        <w:tc>
          <w:tcPr>
            <w:tcW w:w="420" w:type="dxa"/>
            <w:vMerge/>
            <w:tcBorders>
              <w:top w:val="nil"/>
              <w:bottom w:val="nil"/>
              <w:right w:val="nil"/>
            </w:tcBorders>
          </w:tcPr>
          <w:p w:rsidR="001A21F6" w:rsidRPr="00771DBE" w:rsidRDefault="001A21F6" w:rsidP="00771DBE">
            <w:pPr>
              <w:jc w:val="center"/>
              <w:rPr>
                <w:sz w:val="26"/>
                <w:szCs w:val="26"/>
              </w:rPr>
            </w:pPr>
          </w:p>
        </w:tc>
      </w:tr>
      <w:tr w:rsidR="001A21F6" w:rsidRPr="000E2238" w:rsidTr="00771DBE">
        <w:tc>
          <w:tcPr>
            <w:tcW w:w="530" w:type="dxa"/>
            <w:vMerge/>
            <w:tcBorders>
              <w:top w:val="nil"/>
              <w:left w:val="nil"/>
              <w:bottom w:val="nil"/>
            </w:tcBorders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990" w:type="dxa"/>
            <w:vMerge/>
          </w:tcPr>
          <w:p w:rsidR="001A21F6" w:rsidRPr="00771DBE" w:rsidRDefault="001A21F6" w:rsidP="00771DBE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560" w:type="dxa"/>
            <w:vAlign w:val="center"/>
          </w:tcPr>
          <w:p w:rsidR="001A21F6" w:rsidRPr="00771DBE" w:rsidRDefault="001A21F6" w:rsidP="00771DBE">
            <w:pPr>
              <w:ind w:left="23" w:right="81" w:hanging="23"/>
              <w:jc w:val="both"/>
              <w:rPr>
                <w:sz w:val="26"/>
                <w:szCs w:val="26"/>
              </w:rPr>
            </w:pPr>
            <w:r w:rsidRPr="00771DBE">
              <w:rPr>
                <w:sz w:val="26"/>
                <w:szCs w:val="26"/>
              </w:rPr>
              <w:t>Земельные участки, предназначенные для размещения административных зданий, объектов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1246" w:type="dxa"/>
            <w:vAlign w:val="center"/>
          </w:tcPr>
          <w:p w:rsidR="001A21F6" w:rsidRPr="00771DBE" w:rsidRDefault="001A21F6" w:rsidP="00771DBE">
            <w:pPr>
              <w:jc w:val="center"/>
              <w:rPr>
                <w:sz w:val="26"/>
                <w:szCs w:val="26"/>
              </w:rPr>
            </w:pPr>
            <w:r w:rsidRPr="00771DBE">
              <w:rPr>
                <w:sz w:val="26"/>
                <w:szCs w:val="26"/>
              </w:rPr>
              <w:t>1,5%</w:t>
            </w:r>
          </w:p>
        </w:tc>
        <w:tc>
          <w:tcPr>
            <w:tcW w:w="420" w:type="dxa"/>
            <w:vMerge/>
            <w:tcBorders>
              <w:top w:val="nil"/>
              <w:bottom w:val="nil"/>
              <w:right w:val="nil"/>
            </w:tcBorders>
          </w:tcPr>
          <w:p w:rsidR="001A21F6" w:rsidRPr="00771DBE" w:rsidRDefault="001A21F6" w:rsidP="00771DBE">
            <w:pPr>
              <w:jc w:val="center"/>
              <w:rPr>
                <w:sz w:val="26"/>
                <w:szCs w:val="26"/>
              </w:rPr>
            </w:pPr>
          </w:p>
        </w:tc>
      </w:tr>
    </w:tbl>
    <w:p w:rsidR="001A21F6" w:rsidRPr="000E2238" w:rsidRDefault="001A21F6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</w:p>
    <w:p w:rsidR="001A21F6" w:rsidRPr="000E2238" w:rsidRDefault="001A21F6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</w:p>
    <w:p w:rsidR="001A21F6" w:rsidRPr="000E2238" w:rsidRDefault="001A21F6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 xml:space="preserve">К проекту решения имеются замечания технического характера. </w:t>
      </w:r>
    </w:p>
    <w:p w:rsidR="001A21F6" w:rsidRPr="000E2238" w:rsidRDefault="001A21F6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</w:p>
    <w:p w:rsidR="001A21F6" w:rsidRPr="000E2238" w:rsidRDefault="001A21F6" w:rsidP="003D42AB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На основании вышеизложенного, считаем возможным рекомендовать к рассмотрению проект решения Думы города Пыть-Яха </w:t>
      </w:r>
      <w:r w:rsidRPr="003D42AB">
        <w:rPr>
          <w:sz w:val="26"/>
          <w:szCs w:val="26"/>
        </w:rPr>
        <w:t>«О внесении изменений в решение Думы города от 22.09.2008 № 330</w:t>
      </w:r>
      <w:r w:rsidRPr="003D42AB">
        <w:rPr>
          <w:b/>
          <w:sz w:val="26"/>
          <w:szCs w:val="26"/>
        </w:rPr>
        <w:t xml:space="preserve"> </w:t>
      </w:r>
      <w:r w:rsidRPr="003D42AB">
        <w:rPr>
          <w:sz w:val="26"/>
          <w:szCs w:val="26"/>
        </w:rPr>
        <w:t>«Об установлении земельного налога на территории муниципального образования городской округ город Пыть-Ях» (в ред. от 27.11.2008 № 356, от 20.10.2009 № 446, от 21.10.2010 № 577, от 30.03.2011 № 8, от 26.09.2012 № 167, от 24.12.2013 № 248, от 30.09.2014 № 277, от 25.11.2014 № 300, от 18.02.2015 № 310, от 15.12.2015 № 368, от 25.05.2016 № 425)</w:t>
      </w:r>
      <w:r w:rsidRPr="000E2238">
        <w:rPr>
          <w:sz w:val="26"/>
          <w:szCs w:val="26"/>
        </w:rPr>
        <w:t>, с учетом предложения</w:t>
      </w:r>
      <w:r>
        <w:rPr>
          <w:sz w:val="26"/>
          <w:szCs w:val="26"/>
        </w:rPr>
        <w:t xml:space="preserve"> и замечаний</w:t>
      </w:r>
      <w:r w:rsidRPr="000E2238">
        <w:rPr>
          <w:sz w:val="26"/>
          <w:szCs w:val="26"/>
        </w:rPr>
        <w:t xml:space="preserve"> Счетно-контрольной палаты. </w:t>
      </w:r>
    </w:p>
    <w:p w:rsidR="001A21F6" w:rsidRPr="000E2238" w:rsidRDefault="001A21F6" w:rsidP="00D76FA2">
      <w:pPr>
        <w:tabs>
          <w:tab w:val="left" w:pos="567"/>
        </w:tabs>
        <w:jc w:val="both"/>
        <w:rPr>
          <w:sz w:val="26"/>
          <w:szCs w:val="26"/>
        </w:rPr>
      </w:pPr>
    </w:p>
    <w:p w:rsidR="001A21F6" w:rsidRPr="000E2238" w:rsidRDefault="001A21F6" w:rsidP="00D76FA2">
      <w:pPr>
        <w:tabs>
          <w:tab w:val="left" w:pos="567"/>
        </w:tabs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Инспектор </w:t>
      </w:r>
    </w:p>
    <w:p w:rsidR="001A21F6" w:rsidRPr="000E2238" w:rsidRDefault="001A21F6" w:rsidP="00D76FA2">
      <w:pPr>
        <w:tabs>
          <w:tab w:val="left" w:pos="567"/>
        </w:tabs>
        <w:jc w:val="both"/>
        <w:rPr>
          <w:sz w:val="26"/>
          <w:szCs w:val="26"/>
        </w:rPr>
      </w:pPr>
      <w:r w:rsidRPr="000E2238">
        <w:rPr>
          <w:sz w:val="26"/>
          <w:szCs w:val="26"/>
        </w:rPr>
        <w:t>Счетно-контрольной палаты</w:t>
      </w:r>
    </w:p>
    <w:p w:rsidR="001A21F6" w:rsidRPr="000E2238" w:rsidRDefault="001A21F6" w:rsidP="0071387D">
      <w:pPr>
        <w:tabs>
          <w:tab w:val="left" w:pos="567"/>
        </w:tabs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города Пыть-Яха                                                                                             Г.Ф. Урубкова </w:t>
      </w:r>
    </w:p>
    <w:sectPr w:rsidR="001A21F6" w:rsidRPr="000E2238" w:rsidSect="00B11EA3"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1F6" w:rsidRDefault="001A21F6">
      <w:r>
        <w:separator/>
      </w:r>
    </w:p>
  </w:endnote>
  <w:endnote w:type="continuationSeparator" w:id="0">
    <w:p w:rsidR="001A21F6" w:rsidRDefault="001A2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1F6" w:rsidRDefault="001A21F6">
    <w:pPr>
      <w:pStyle w:val="Footer"/>
      <w:jc w:val="right"/>
    </w:pPr>
    <w:fldSimple w:instr="PAGE   \* MERGEFORMAT">
      <w:r>
        <w:rPr>
          <w:noProof/>
        </w:rPr>
        <w:t>4</w:t>
      </w:r>
    </w:fldSimple>
  </w:p>
  <w:p w:rsidR="001A21F6" w:rsidRDefault="001A2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1F6" w:rsidRDefault="001A21F6">
      <w:r>
        <w:separator/>
      </w:r>
    </w:p>
  </w:footnote>
  <w:footnote w:type="continuationSeparator" w:id="0">
    <w:p w:rsidR="001A21F6" w:rsidRDefault="001A21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112"/>
    <w:multiLevelType w:val="hybridMultilevel"/>
    <w:tmpl w:val="005AE9EE"/>
    <w:lvl w:ilvl="0" w:tplc="23221AD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6FA2"/>
    <w:rsid w:val="00026336"/>
    <w:rsid w:val="000E2238"/>
    <w:rsid w:val="001A21F6"/>
    <w:rsid w:val="001C5E06"/>
    <w:rsid w:val="00263BA9"/>
    <w:rsid w:val="002B3BD8"/>
    <w:rsid w:val="00332B03"/>
    <w:rsid w:val="003D28B3"/>
    <w:rsid w:val="003D42AB"/>
    <w:rsid w:val="00406BF4"/>
    <w:rsid w:val="00450943"/>
    <w:rsid w:val="005A0093"/>
    <w:rsid w:val="00612F88"/>
    <w:rsid w:val="0071387D"/>
    <w:rsid w:val="00771DBE"/>
    <w:rsid w:val="00AC0D7B"/>
    <w:rsid w:val="00B11EA3"/>
    <w:rsid w:val="00BC6339"/>
    <w:rsid w:val="00C0661D"/>
    <w:rsid w:val="00D76FA2"/>
    <w:rsid w:val="00F338E0"/>
    <w:rsid w:val="00F651DF"/>
    <w:rsid w:val="00FB6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6FA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76FA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TableGrid">
    <w:name w:val="Table Grid"/>
    <w:basedOn w:val="TableNormal"/>
    <w:uiPriority w:val="99"/>
    <w:rsid w:val="00D76FA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D76FA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76FA2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D76FA2"/>
    <w:rPr>
      <w:rFonts w:cs="Times New Roman"/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rsid w:val="00FB69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B69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3127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51057/c7b7d54bb98fd39daf4b04c73897fa605287818d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D9F001EE60B3989E9ECA2AC5FBF049F5F74C981A13C2E55D3FCFED578EF352035E6E08A62E2o9x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3773/fb3b9f6c5786727ec9ea99d18258678dcbe363ef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4</Pages>
  <Words>1702</Words>
  <Characters>9708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2017-10-25T07:08:00Z</cp:lastPrinted>
  <dcterms:created xsi:type="dcterms:W3CDTF">2017-10-25T05:23:00Z</dcterms:created>
  <dcterms:modified xsi:type="dcterms:W3CDTF">2017-11-13T10:53:00Z</dcterms:modified>
</cp:coreProperties>
</file>